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F" w:rsidRDefault="00493041" w:rsidP="00E15768">
      <w:pPr>
        <w:pStyle w:val="KonuBal"/>
        <w:rPr>
          <w:rFonts w:ascii="Times New Roman" w:hAnsi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/>
          <w:sz w:val="22"/>
          <w:szCs w:val="22"/>
        </w:rPr>
        <w:t>TIP FAKÜLTESİ</w:t>
      </w:r>
    </w:p>
    <w:p w:rsidR="00A745DF" w:rsidRDefault="00A745DF" w:rsidP="00E15768">
      <w:pPr>
        <w:pStyle w:val="KonuBal"/>
        <w:rPr>
          <w:rFonts w:ascii="Times New Roman" w:hAnsi="Times New Roman"/>
          <w:sz w:val="22"/>
          <w:szCs w:val="22"/>
        </w:rPr>
      </w:pPr>
    </w:p>
    <w:p w:rsidR="00A745DF" w:rsidRDefault="00493041" w:rsidP="00E157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LİSANS PROGRAMI</w:t>
      </w:r>
    </w:p>
    <w:p w:rsidR="00A745DF" w:rsidRDefault="00A745DF" w:rsidP="00E15768">
      <w:pPr>
        <w:jc w:val="center"/>
        <w:rPr>
          <w:b/>
          <w:sz w:val="22"/>
          <w:szCs w:val="22"/>
        </w:rPr>
      </w:pPr>
    </w:p>
    <w:p w:rsidR="00A745DF" w:rsidRDefault="00A745DF" w:rsidP="00E15768">
      <w:pPr>
        <w:jc w:val="center"/>
        <w:rPr>
          <w:b/>
          <w:sz w:val="22"/>
          <w:szCs w:val="22"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A745DF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Adı: ÇOCUK PSİKİYATRİSİ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Kodu: TIP572</w:t>
            </w:r>
          </w:p>
        </w:tc>
      </w:tr>
      <w:tr w:rsidR="00A745DF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AKTS:2 KREDİ:15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5.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Zorunlu</w:t>
            </w:r>
          </w:p>
        </w:tc>
      </w:tr>
      <w:tr w:rsidR="00A745DF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hafta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Teorik+Uygulama</w:t>
            </w:r>
            <w:proofErr w:type="spellEnd"/>
            <w:r>
              <w:rPr>
                <w:sz w:val="22"/>
                <w:szCs w:val="22"/>
              </w:rPr>
              <w:t xml:space="preserve"> saat/hafta: 24+8 saat/1 hafta</w:t>
            </w:r>
          </w:p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Türkçe</w:t>
            </w:r>
          </w:p>
        </w:tc>
      </w:tr>
      <w:tr w:rsidR="00A745DF" w:rsidTr="000A7CF3">
        <w:trPr>
          <w:trHeight w:val="151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45DF" w:rsidRPr="000A7CF3" w:rsidRDefault="00147113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A7CF3">
              <w:rPr>
                <w:b/>
              </w:rPr>
              <w:t>Klinik Ders Koordinatörü</w:t>
            </w:r>
          </w:p>
          <w:p w:rsidR="00A745DF" w:rsidRDefault="00A745DF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A745DF" w:rsidRDefault="00E15768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</w:t>
            </w:r>
            <w:r w:rsidR="00493041">
              <w:rPr>
                <w:b/>
                <w:sz w:val="22"/>
                <w:szCs w:val="22"/>
              </w:rPr>
              <w:t>. Dr. Emel SARI</w:t>
            </w:r>
          </w:p>
        </w:tc>
      </w:tr>
      <w:tr w:rsidR="00A745DF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45DF" w:rsidRPr="000A7CF3" w:rsidRDefault="00493041" w:rsidP="00E15768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  <w:r w:rsidRPr="000A7CF3">
              <w:rPr>
                <w:b/>
                <w:sz w:val="22"/>
                <w:szCs w:val="22"/>
                <w:u w:val="single"/>
              </w:rPr>
              <w:t>Elektronik Posta Adresi</w:t>
            </w:r>
          </w:p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</w:t>
            </w:r>
          </w:p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</w:t>
            </w:r>
            <w:hyperlink r:id="rId9">
              <w:r>
                <w:rPr>
                  <w:b/>
                  <w:color w:val="1155CC"/>
                  <w:sz w:val="22"/>
                  <w:szCs w:val="22"/>
                  <w:u w:val="single"/>
                </w:rPr>
                <w:t>emel.sari@yeniyuzyil.edu.tr</w:t>
              </w:r>
            </w:hyperlink>
          </w:p>
          <w:p w:rsidR="00A745DF" w:rsidRDefault="00A745DF" w:rsidP="00E15768">
            <w:pPr>
              <w:rPr>
                <w:b/>
                <w:sz w:val="22"/>
                <w:szCs w:val="22"/>
              </w:rPr>
            </w:pPr>
          </w:p>
        </w:tc>
      </w:tr>
      <w:tr w:rsidR="00A745DF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45DF" w:rsidRDefault="00A745DF" w:rsidP="00E15768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</w:p>
          <w:p w:rsidR="00A745DF" w:rsidRDefault="00493041" w:rsidP="00E15768">
            <w:pPr>
              <w:ind w:left="180" w:right="2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Görüşme Saatleri:  Her gün 15.00-17.00</w:t>
            </w:r>
          </w:p>
          <w:p w:rsidR="00A745DF" w:rsidRDefault="00A745DF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A745DF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5DF" w:rsidRDefault="00A745DF" w:rsidP="00E15768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A745DF" w:rsidRDefault="00493041" w:rsidP="00E15768">
      <w:pPr>
        <w:spacing w:before="280" w:after="280"/>
        <w:jc w:val="both"/>
        <w:rPr>
          <w:sz w:val="22"/>
          <w:szCs w:val="22"/>
          <w:highlight w:val="white"/>
        </w:rPr>
      </w:pPr>
      <w:r>
        <w:rPr>
          <w:b/>
          <w:sz w:val="22"/>
          <w:szCs w:val="22"/>
        </w:rPr>
        <w:t>Dersin Genel Amacı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highlight w:val="white"/>
        </w:rPr>
        <w:t>Çocuk ve ergenlerin normal ruhsal gelişim özellikleri ve psikiyatrik sorunlarını değerlendirebilmek ve yaklaşım prensiplerini tanımlayabilmek </w:t>
      </w:r>
    </w:p>
    <w:p w:rsidR="00A745DF" w:rsidRDefault="00493041" w:rsidP="00E15768">
      <w:pPr>
        <w:spacing w:before="280" w:after="2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Öğrenme Çıktıları ve Alt Beceriler:</w:t>
      </w:r>
    </w:p>
    <w:p w:rsidR="00A745DF" w:rsidRDefault="00493041" w:rsidP="00E1576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Bu stajı başarıyla tamamlayan öğrencilerimizin</w:t>
      </w:r>
      <w:r>
        <w:rPr>
          <w:b/>
          <w:sz w:val="22"/>
          <w:szCs w:val="22"/>
        </w:rPr>
        <w:t xml:space="preserve">, </w:t>
      </w:r>
    </w:p>
    <w:p w:rsidR="00A745DF" w:rsidRDefault="00493041" w:rsidP="00E15768">
      <w:pPr>
        <w:numPr>
          <w:ilvl w:val="0"/>
          <w:numId w:val="1"/>
        </w:numPr>
        <w:shd w:val="clear" w:color="auto" w:fill="FFFFFF"/>
        <w:spacing w:before="280"/>
        <w:rPr>
          <w:sz w:val="22"/>
          <w:szCs w:val="22"/>
        </w:rPr>
      </w:pPr>
      <w:r>
        <w:rPr>
          <w:sz w:val="22"/>
          <w:szCs w:val="22"/>
        </w:rPr>
        <w:t>Çocuğun ruhsal özelliklerini tanımlayabilir ve çocuğun psikiyatrik değerlendirilmesini sınıflayabilir.</w:t>
      </w:r>
    </w:p>
    <w:p w:rsidR="00A745DF" w:rsidRDefault="00493041" w:rsidP="00E15768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Gelişme dönemlerine göre çocukluktaki dönemsel özellikleri sınıflayabilir.</w:t>
      </w:r>
    </w:p>
    <w:p w:rsidR="00A745DF" w:rsidRDefault="00493041" w:rsidP="00E15768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Çocukluk dönemlerinde karşılaşılan psikiyatrik sorunları ve yaklaşım prensiplerini tanımlayabilir.</w:t>
      </w:r>
    </w:p>
    <w:p w:rsidR="00A745DF" w:rsidRDefault="00493041" w:rsidP="00E15768">
      <w:pPr>
        <w:numPr>
          <w:ilvl w:val="0"/>
          <w:numId w:val="1"/>
        </w:numPr>
        <w:shd w:val="clear" w:color="auto" w:fill="FFFFFF"/>
        <w:spacing w:after="280"/>
        <w:rPr>
          <w:sz w:val="22"/>
          <w:szCs w:val="22"/>
        </w:rPr>
      </w:pPr>
      <w:r>
        <w:rPr>
          <w:sz w:val="22"/>
          <w:szCs w:val="22"/>
        </w:rPr>
        <w:t>Hasta çocuk, ailesi ve hekim arasındaki ilişkiyi değerlendirebilir ve gösterebilir.</w:t>
      </w:r>
    </w:p>
    <w:p w:rsidR="00A745DF" w:rsidRDefault="00A745DF" w:rsidP="00E15768">
      <w:pPr>
        <w:jc w:val="both"/>
        <w:rPr>
          <w:b/>
          <w:sz w:val="22"/>
          <w:szCs w:val="22"/>
        </w:rPr>
      </w:pPr>
    </w:p>
    <w:p w:rsidR="00A745DF" w:rsidRDefault="00493041" w:rsidP="00E157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Öğretim Yöntem ve Teknikleri: </w:t>
      </w:r>
      <w:r>
        <w:rPr>
          <w:sz w:val="22"/>
          <w:szCs w:val="22"/>
        </w:rPr>
        <w:t>Dersler öğretim üyeleri tarafından anlatılır, ancak sınıf içi tartışma ve öğrencinin dersi katılımı sağlanır. Pratik uygulama ile ders konuları pekiştirilir.</w:t>
      </w:r>
    </w:p>
    <w:p w:rsidR="00A745DF" w:rsidRDefault="00A745DF" w:rsidP="00E15768">
      <w:pPr>
        <w:jc w:val="both"/>
        <w:rPr>
          <w:sz w:val="22"/>
          <w:szCs w:val="22"/>
        </w:rPr>
      </w:pPr>
    </w:p>
    <w:p w:rsidR="00A745DF" w:rsidRDefault="00A745DF" w:rsidP="00E15768">
      <w:pPr>
        <w:jc w:val="both"/>
        <w:rPr>
          <w:sz w:val="22"/>
          <w:szCs w:val="22"/>
        </w:rPr>
      </w:pPr>
    </w:p>
    <w:p w:rsidR="00A745DF" w:rsidRDefault="00493041" w:rsidP="00E157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Önkoşul: </w:t>
      </w:r>
      <w:r>
        <w:rPr>
          <w:sz w:val="22"/>
          <w:szCs w:val="22"/>
        </w:rPr>
        <w:t>Yok</w:t>
      </w:r>
    </w:p>
    <w:p w:rsidR="00A745DF" w:rsidRDefault="00A745DF" w:rsidP="00E15768">
      <w:pPr>
        <w:jc w:val="both"/>
        <w:rPr>
          <w:b/>
          <w:sz w:val="22"/>
          <w:szCs w:val="22"/>
        </w:rPr>
      </w:pPr>
    </w:p>
    <w:p w:rsidR="000A7CF3" w:rsidRDefault="000A7CF3" w:rsidP="00E15768">
      <w:pPr>
        <w:jc w:val="both"/>
        <w:rPr>
          <w:b/>
          <w:sz w:val="22"/>
          <w:szCs w:val="22"/>
        </w:rPr>
      </w:pPr>
    </w:p>
    <w:p w:rsidR="00A745DF" w:rsidRDefault="00493041" w:rsidP="00E157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Temel Kaynaklar: </w:t>
      </w:r>
    </w:p>
    <w:p w:rsidR="00A745DF" w:rsidRDefault="00493041" w:rsidP="00E15768">
      <w:pPr>
        <w:ind w:right="-110"/>
        <w:rPr>
          <w:b/>
          <w:sz w:val="22"/>
          <w:szCs w:val="22"/>
        </w:rPr>
      </w:pPr>
      <w:r>
        <w:rPr>
          <w:sz w:val="22"/>
          <w:szCs w:val="22"/>
          <w:highlight w:val="white"/>
        </w:rPr>
        <w:t>1. Çocuk ve Ergen Psikiyatrisi Temel Kitabı, F. Çetin ve ark.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 xml:space="preserve">2. </w:t>
      </w:r>
      <w:proofErr w:type="spellStart"/>
      <w:r>
        <w:rPr>
          <w:sz w:val="22"/>
          <w:szCs w:val="22"/>
          <w:highlight w:val="white"/>
        </w:rPr>
        <w:t>Synopsis</w:t>
      </w:r>
      <w:proofErr w:type="spellEnd"/>
      <w:r>
        <w:rPr>
          <w:sz w:val="22"/>
          <w:szCs w:val="22"/>
          <w:highlight w:val="white"/>
        </w:rPr>
        <w:t xml:space="preserve"> of </w:t>
      </w:r>
      <w:proofErr w:type="spellStart"/>
      <w:r>
        <w:rPr>
          <w:sz w:val="22"/>
          <w:szCs w:val="22"/>
          <w:highlight w:val="white"/>
        </w:rPr>
        <w:t>Psychiatry</w:t>
      </w:r>
      <w:proofErr w:type="spellEnd"/>
      <w:r>
        <w:rPr>
          <w:sz w:val="22"/>
          <w:szCs w:val="22"/>
          <w:highlight w:val="white"/>
        </w:rPr>
        <w:t xml:space="preserve">, Kaplan &amp; </w:t>
      </w:r>
      <w:proofErr w:type="spellStart"/>
      <w:r>
        <w:rPr>
          <w:sz w:val="22"/>
          <w:szCs w:val="22"/>
          <w:highlight w:val="white"/>
        </w:rPr>
        <w:t>Sadock</w:t>
      </w:r>
      <w:proofErr w:type="spellEnd"/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 xml:space="preserve">3. Child </w:t>
      </w:r>
      <w:proofErr w:type="spellStart"/>
      <w:r>
        <w:rPr>
          <w:sz w:val="22"/>
          <w:szCs w:val="22"/>
          <w:highlight w:val="white"/>
        </w:rPr>
        <w:t>and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Adolescent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Psychiatry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M.Lewis</w:t>
      </w:r>
      <w:proofErr w:type="spellEnd"/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 xml:space="preserve">4. </w:t>
      </w:r>
      <w:proofErr w:type="spellStart"/>
      <w:r>
        <w:rPr>
          <w:sz w:val="22"/>
          <w:szCs w:val="22"/>
          <w:highlight w:val="white"/>
        </w:rPr>
        <w:t>Rutter's</w:t>
      </w:r>
      <w:proofErr w:type="spellEnd"/>
      <w:r>
        <w:rPr>
          <w:sz w:val="22"/>
          <w:szCs w:val="22"/>
          <w:highlight w:val="white"/>
        </w:rPr>
        <w:t xml:space="preserve"> Child </w:t>
      </w:r>
      <w:proofErr w:type="spellStart"/>
      <w:r>
        <w:rPr>
          <w:sz w:val="22"/>
          <w:szCs w:val="22"/>
          <w:highlight w:val="white"/>
        </w:rPr>
        <w:t>and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Adolescent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Psychiatry</w:t>
      </w:r>
      <w:proofErr w:type="spellEnd"/>
      <w:r>
        <w:rPr>
          <w:sz w:val="22"/>
          <w:szCs w:val="22"/>
          <w:highlight w:val="white"/>
        </w:rPr>
        <w:t xml:space="preserve">, M. </w:t>
      </w:r>
      <w:proofErr w:type="spellStart"/>
      <w:r>
        <w:rPr>
          <w:sz w:val="22"/>
          <w:szCs w:val="22"/>
          <w:highlight w:val="white"/>
        </w:rPr>
        <w:t>Rutter</w:t>
      </w:r>
      <w:proofErr w:type="spellEnd"/>
      <w:r>
        <w:rPr>
          <w:sz w:val="22"/>
          <w:szCs w:val="22"/>
          <w:highlight w:val="white"/>
        </w:rPr>
        <w:t> </w:t>
      </w:r>
    </w:p>
    <w:p w:rsidR="00A745DF" w:rsidRDefault="00A745DF" w:rsidP="00E15768">
      <w:pPr>
        <w:ind w:right="-110"/>
        <w:jc w:val="both"/>
        <w:rPr>
          <w:b/>
          <w:sz w:val="22"/>
          <w:szCs w:val="22"/>
        </w:rPr>
      </w:pPr>
    </w:p>
    <w:p w:rsidR="00A745DF" w:rsidRDefault="00493041" w:rsidP="00E15768">
      <w:pPr>
        <w:ind w:right="-1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Yardımcı Kaynaklar:</w:t>
      </w:r>
    </w:p>
    <w:p w:rsidR="00A745DF" w:rsidRDefault="00A745DF" w:rsidP="00E15768">
      <w:pPr>
        <w:ind w:right="-110"/>
        <w:jc w:val="both"/>
        <w:rPr>
          <w:b/>
          <w:sz w:val="22"/>
          <w:szCs w:val="22"/>
        </w:rPr>
      </w:pPr>
    </w:p>
    <w:p w:rsidR="00A745DF" w:rsidRDefault="00493041" w:rsidP="00E15768">
      <w:pPr>
        <w:jc w:val="both"/>
        <w:rPr>
          <w:b/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>DSM-5 Tanı Ölçütleri, Amerikan Psikiyatri Birliği. Hekimler Yayın Birliği</w:t>
      </w:r>
    </w:p>
    <w:p w:rsidR="00A745DF" w:rsidRDefault="00A745DF" w:rsidP="00E15768">
      <w:pPr>
        <w:jc w:val="both"/>
        <w:rPr>
          <w:sz w:val="22"/>
          <w:szCs w:val="22"/>
        </w:rPr>
      </w:pPr>
    </w:p>
    <w:p w:rsidR="00A745DF" w:rsidRDefault="00493041" w:rsidP="00E15768">
      <w:pPr>
        <w:rPr>
          <w:b/>
          <w:sz w:val="22"/>
          <w:szCs w:val="22"/>
        </w:rPr>
      </w:pPr>
      <w:r>
        <w:rPr>
          <w:b/>
          <w:sz w:val="22"/>
          <w:szCs w:val="22"/>
        </w:rPr>
        <w:t>HAFTALIK KONULAR VE İLGİLİ ÖN HAZIRLIK SAYFALARI</w:t>
      </w:r>
    </w:p>
    <w:tbl>
      <w:tblPr>
        <w:tblStyle w:val="a0"/>
        <w:tblpPr w:leftFromText="141" w:rightFromText="141" w:vertAnchor="text" w:tblpY="911"/>
        <w:tblW w:w="8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A745DF">
        <w:tc>
          <w:tcPr>
            <w:tcW w:w="817" w:type="dxa"/>
            <w:shd w:val="clear" w:color="auto" w:fill="auto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Konular(not: Ders programındaki haftalara göre ders akış listesi)</w:t>
            </w:r>
          </w:p>
        </w:tc>
      </w:tr>
      <w:tr w:rsidR="00A745DF">
        <w:tc>
          <w:tcPr>
            <w:tcW w:w="817" w:type="dxa"/>
            <w:shd w:val="clear" w:color="auto" w:fill="auto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Çocuk ve Ergenlerde Psikiyatrik Değerlendirme, </w:t>
            </w:r>
            <w:proofErr w:type="gramStart"/>
            <w:r>
              <w:rPr>
                <w:sz w:val="22"/>
                <w:szCs w:val="22"/>
              </w:rPr>
              <w:t>Zeka</w:t>
            </w:r>
            <w:proofErr w:type="gramEnd"/>
            <w:r>
              <w:rPr>
                <w:sz w:val="22"/>
                <w:szCs w:val="22"/>
              </w:rPr>
              <w:t xml:space="preserve"> Geriliği, Öğrenme Bozuklukları, Dışa Atım Bozuklukları, Otizm Spektrum Bozuklukları, Yıkıcı Davranış Bozuklukları, Duygu Durum Bozuklukları, Uyku Bozuklukları, Çocukluk Çağı </w:t>
            </w:r>
            <w:proofErr w:type="spellStart"/>
            <w:r>
              <w:rPr>
                <w:sz w:val="22"/>
                <w:szCs w:val="22"/>
              </w:rPr>
              <w:t>Anksiyete</w:t>
            </w:r>
            <w:proofErr w:type="spellEnd"/>
            <w:r>
              <w:rPr>
                <w:sz w:val="22"/>
                <w:szCs w:val="22"/>
              </w:rPr>
              <w:t xml:space="preserve"> Bozuklukları, Çocuk ve Ergen Psikolojisinde Aciller, İstismar ve İhmal, Tik Bozuklukları</w:t>
            </w:r>
          </w:p>
        </w:tc>
      </w:tr>
      <w:tr w:rsidR="00A745DF">
        <w:tc>
          <w:tcPr>
            <w:tcW w:w="817" w:type="dxa"/>
            <w:shd w:val="clear" w:color="auto" w:fill="auto"/>
          </w:tcPr>
          <w:p w:rsidR="00A745DF" w:rsidRDefault="00A745DF" w:rsidP="00E15768">
            <w:pPr>
              <w:rPr>
                <w:b/>
                <w:sz w:val="22"/>
                <w:szCs w:val="22"/>
              </w:rPr>
            </w:pPr>
          </w:p>
        </w:tc>
        <w:tc>
          <w:tcPr>
            <w:tcW w:w="7623" w:type="dxa"/>
            <w:shd w:val="clear" w:color="auto" w:fill="auto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SINAV</w:t>
            </w:r>
          </w:p>
        </w:tc>
      </w:tr>
    </w:tbl>
    <w:p w:rsidR="00A745DF" w:rsidRDefault="00A745DF" w:rsidP="00E15768">
      <w:pPr>
        <w:jc w:val="both"/>
        <w:rPr>
          <w:b/>
          <w:sz w:val="22"/>
          <w:szCs w:val="22"/>
        </w:rPr>
      </w:pPr>
    </w:p>
    <w:p w:rsidR="00A745DF" w:rsidRDefault="00A745DF" w:rsidP="00E15768">
      <w:pPr>
        <w:ind w:firstLine="720"/>
        <w:jc w:val="both"/>
        <w:rPr>
          <w:b/>
          <w:sz w:val="22"/>
          <w:szCs w:val="22"/>
        </w:rPr>
      </w:pPr>
    </w:p>
    <w:p w:rsidR="00A745DF" w:rsidRDefault="00A745DF" w:rsidP="00E15768">
      <w:pPr>
        <w:rPr>
          <w:b/>
          <w:sz w:val="22"/>
          <w:szCs w:val="22"/>
        </w:rPr>
      </w:pPr>
    </w:p>
    <w:p w:rsidR="00A745DF" w:rsidRDefault="00A745DF" w:rsidP="00E15768">
      <w:pPr>
        <w:rPr>
          <w:b/>
          <w:sz w:val="22"/>
          <w:szCs w:val="22"/>
        </w:rPr>
      </w:pPr>
    </w:p>
    <w:p w:rsidR="00A745DF" w:rsidRDefault="00A745DF" w:rsidP="00E15768">
      <w:pPr>
        <w:rPr>
          <w:b/>
          <w:sz w:val="22"/>
          <w:szCs w:val="22"/>
        </w:rPr>
      </w:pPr>
    </w:p>
    <w:p w:rsidR="00A745DF" w:rsidRDefault="00A745DF" w:rsidP="00E15768">
      <w:pPr>
        <w:rPr>
          <w:b/>
          <w:sz w:val="22"/>
          <w:szCs w:val="22"/>
        </w:rPr>
      </w:pPr>
    </w:p>
    <w:p w:rsidR="00A745DF" w:rsidRDefault="00A745DF" w:rsidP="00E15768">
      <w:pPr>
        <w:rPr>
          <w:b/>
          <w:sz w:val="22"/>
          <w:szCs w:val="22"/>
        </w:rPr>
      </w:pPr>
    </w:p>
    <w:p w:rsidR="00A745DF" w:rsidRDefault="00A745DF" w:rsidP="00E15768">
      <w:pPr>
        <w:rPr>
          <w:sz w:val="22"/>
          <w:szCs w:val="22"/>
        </w:rPr>
      </w:pPr>
    </w:p>
    <w:p w:rsidR="00A745DF" w:rsidRDefault="00A745DF" w:rsidP="00E15768">
      <w:pPr>
        <w:rPr>
          <w:b/>
          <w:sz w:val="22"/>
          <w:szCs w:val="22"/>
        </w:rPr>
      </w:pPr>
    </w:p>
    <w:p w:rsidR="00A745DF" w:rsidRDefault="00A745DF" w:rsidP="00E15768">
      <w:pPr>
        <w:rPr>
          <w:b/>
          <w:sz w:val="22"/>
          <w:szCs w:val="22"/>
        </w:rPr>
      </w:pPr>
    </w:p>
    <w:p w:rsidR="00A745DF" w:rsidRDefault="00A745DF" w:rsidP="00E15768">
      <w:pPr>
        <w:rPr>
          <w:b/>
          <w:sz w:val="22"/>
          <w:szCs w:val="22"/>
        </w:rPr>
      </w:pPr>
    </w:p>
    <w:p w:rsidR="00A745DF" w:rsidRDefault="00493041" w:rsidP="00E157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DERSİN ÖĞRENİM ÇIKTILARININ PROGRAM YETERLİLİKLERİ İLE İLİŞKİSİ </w:t>
      </w:r>
    </w:p>
    <w:p w:rsidR="00A745DF" w:rsidRDefault="00A745DF" w:rsidP="00E15768">
      <w:pPr>
        <w:rPr>
          <w:b/>
          <w:sz w:val="22"/>
          <w:szCs w:val="22"/>
        </w:rPr>
      </w:pPr>
    </w:p>
    <w:tbl>
      <w:tblPr>
        <w:tblStyle w:val="a1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232"/>
        <w:gridCol w:w="375"/>
        <w:gridCol w:w="374"/>
        <w:gridCol w:w="375"/>
        <w:gridCol w:w="326"/>
        <w:gridCol w:w="375"/>
      </w:tblGrid>
      <w:tr w:rsidR="00A745DF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2" w:type="dxa"/>
            <w:vMerge w:val="restart"/>
            <w:tcBorders>
              <w:top w:val="single" w:sz="12" w:space="0" w:color="000000"/>
            </w:tcBorders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Yeterlilikleri / Çıktıları</w:t>
            </w:r>
          </w:p>
        </w:tc>
        <w:tc>
          <w:tcPr>
            <w:tcW w:w="1825" w:type="dxa"/>
            <w:gridSpan w:val="5"/>
            <w:tcBorders>
              <w:top w:val="single" w:sz="12" w:space="0" w:color="000000"/>
            </w:tcBorders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*Katkı Düzeyi</w:t>
            </w:r>
          </w:p>
        </w:tc>
      </w:tr>
      <w:tr w:rsidR="00A745DF">
        <w:trPr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A745DF" w:rsidRDefault="00A745DF" w:rsidP="00E15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8232" w:type="dxa"/>
            <w:vMerge/>
            <w:tcBorders>
              <w:top w:val="single" w:sz="12" w:space="0" w:color="000000"/>
            </w:tcBorders>
          </w:tcPr>
          <w:p w:rsidR="00A745DF" w:rsidRDefault="00A745DF" w:rsidP="00E15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4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A745DF">
        <w:trPr>
          <w:trHeight w:val="233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32" w:type="dxa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</w:tr>
      <w:tr w:rsidR="00A745DF">
        <w:trPr>
          <w:trHeight w:val="250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32" w:type="dxa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</w:tr>
      <w:tr w:rsidR="00A745DF">
        <w:trPr>
          <w:trHeight w:val="250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32" w:type="dxa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Hastanın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hikayesini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5DF">
        <w:trPr>
          <w:trHeight w:val="534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32" w:type="dxa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5DF">
        <w:trPr>
          <w:trHeight w:val="233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32" w:type="dxa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5DF">
        <w:trPr>
          <w:trHeight w:val="608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32" w:type="dxa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5DF">
        <w:trPr>
          <w:trHeight w:val="590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32" w:type="dxa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</w:tr>
      <w:tr w:rsidR="00A745DF">
        <w:trPr>
          <w:trHeight w:val="233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32" w:type="dxa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</w:tr>
      <w:tr w:rsidR="00A745DF">
        <w:trPr>
          <w:trHeight w:val="438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32" w:type="dxa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5DF">
        <w:trPr>
          <w:trHeight w:val="250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232" w:type="dxa"/>
          </w:tcPr>
          <w:p w:rsidR="00A745DF" w:rsidRDefault="00493041" w:rsidP="00E1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</w:tr>
      <w:tr w:rsidR="00A745DF">
        <w:trPr>
          <w:trHeight w:val="250"/>
        </w:trPr>
        <w:tc>
          <w:tcPr>
            <w:tcW w:w="456" w:type="dxa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232" w:type="dxa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Tıp alanında </w:t>
            </w:r>
            <w:proofErr w:type="gramStart"/>
            <w:r>
              <w:rPr>
                <w:sz w:val="22"/>
                <w:szCs w:val="22"/>
              </w:rPr>
              <w:t>literatürü</w:t>
            </w:r>
            <w:proofErr w:type="gramEnd"/>
            <w:r>
              <w:rPr>
                <w:sz w:val="22"/>
                <w:szCs w:val="22"/>
              </w:rPr>
              <w:t xml:space="preserve"> izleyecek kadar yabancı dil bilir, bilimsel çalışmaları </w:t>
            </w:r>
            <w:r>
              <w:rPr>
                <w:sz w:val="22"/>
                <w:szCs w:val="22"/>
              </w:rPr>
              <w:lastRenderedPageBreak/>
              <w:t>değerlendirecek kadar istatistik ve bilgisayar yöntemlerini kullanabilir.</w:t>
            </w:r>
          </w:p>
        </w:tc>
        <w:tc>
          <w:tcPr>
            <w:tcW w:w="375" w:type="dxa"/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374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</w:tcPr>
          <w:p w:rsidR="00A745DF" w:rsidRDefault="00A745DF" w:rsidP="00E1576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A745DF" w:rsidRDefault="00A745DF" w:rsidP="00E15768">
      <w:pPr>
        <w:rPr>
          <w:b/>
          <w:sz w:val="22"/>
          <w:szCs w:val="22"/>
        </w:rPr>
      </w:pPr>
    </w:p>
    <w:p w:rsidR="00A745DF" w:rsidRDefault="00493041" w:rsidP="00E157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*1 en düşük, 2 düşük, 3 orta, 4 yüksek, 5 en yüksek ya da tamamen/kısmen şeklinde de belirtilebilir.</w:t>
      </w:r>
    </w:p>
    <w:p w:rsidR="00A745DF" w:rsidRDefault="00A745DF" w:rsidP="00E15768">
      <w:pPr>
        <w:rPr>
          <w:b/>
          <w:sz w:val="22"/>
          <w:szCs w:val="22"/>
        </w:rPr>
      </w:pPr>
    </w:p>
    <w:p w:rsidR="00A745DF" w:rsidRDefault="00A745DF" w:rsidP="00E15768">
      <w:pPr>
        <w:rPr>
          <w:b/>
          <w:sz w:val="22"/>
          <w:szCs w:val="22"/>
        </w:rPr>
      </w:pPr>
    </w:p>
    <w:p w:rsidR="00A745DF" w:rsidRDefault="00493041" w:rsidP="00E15768">
      <w:pPr>
        <w:rPr>
          <w:b/>
          <w:sz w:val="22"/>
          <w:szCs w:val="22"/>
        </w:rPr>
      </w:pPr>
      <w:r>
        <w:rPr>
          <w:b/>
          <w:sz w:val="22"/>
          <w:szCs w:val="22"/>
        </w:rPr>
        <w:t>AKTS (İŞ YÜKÜ TABLOSU)</w:t>
      </w:r>
    </w:p>
    <w:p w:rsidR="00A745DF" w:rsidRDefault="00A745DF" w:rsidP="00E15768">
      <w:pPr>
        <w:rPr>
          <w:b/>
          <w:sz w:val="22"/>
          <w:szCs w:val="22"/>
        </w:rPr>
      </w:pPr>
    </w:p>
    <w:tbl>
      <w:tblPr>
        <w:tblStyle w:val="a2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Süresi (Saat)</w:t>
            </w:r>
          </w:p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</w:t>
            </w:r>
            <w:r>
              <w:rPr>
                <w:b/>
                <w:sz w:val="22"/>
                <w:szCs w:val="22"/>
              </w:rPr>
              <w:br/>
              <w:t>İş Yükü</w:t>
            </w:r>
          </w:p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</w:tr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Süresi</w:t>
            </w:r>
            <w:r>
              <w:rPr>
                <w:sz w:val="22"/>
                <w:szCs w:val="22"/>
              </w:rPr>
              <w:t xml:space="preserve">(Sınav haftası </w:t>
            </w:r>
            <w:proofErr w:type="gramStart"/>
            <w:r>
              <w:rPr>
                <w:sz w:val="22"/>
                <w:szCs w:val="22"/>
              </w:rPr>
              <w:t>dahildir</w:t>
            </w:r>
            <w:proofErr w:type="gramEnd"/>
            <w:r>
              <w:rPr>
                <w:sz w:val="22"/>
                <w:szCs w:val="22"/>
              </w:rPr>
              <w:t>: 2x toplam ders saati)</w:t>
            </w: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Derse Özgü Staj </w:t>
            </w:r>
            <w:r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 Dışı Ders Çalışma Süresi</w:t>
            </w:r>
            <w:r>
              <w:rPr>
                <w:sz w:val="22"/>
                <w:szCs w:val="22"/>
              </w:rPr>
              <w:t xml:space="preserve"> (Ön çalışma, pekiştirme)</w:t>
            </w:r>
          </w:p>
          <w:p w:rsidR="00A745DF" w:rsidRDefault="00A745DF" w:rsidP="00E1576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sz w:val="22"/>
                <w:szCs w:val="22"/>
              </w:rPr>
            </w:pPr>
          </w:p>
        </w:tc>
      </w:tr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5DF">
        <w:tc>
          <w:tcPr>
            <w:tcW w:w="5353" w:type="dxa"/>
            <w:vAlign w:val="center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Kurul Sonu Sınavı</w:t>
            </w: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745DF">
        <w:tc>
          <w:tcPr>
            <w:tcW w:w="5353" w:type="dxa"/>
          </w:tcPr>
          <w:p w:rsidR="00A745DF" w:rsidRDefault="00493041" w:rsidP="00E1576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</w:tr>
    </w:tbl>
    <w:p w:rsidR="00A745DF" w:rsidRDefault="00A745DF" w:rsidP="00E15768">
      <w:pPr>
        <w:rPr>
          <w:sz w:val="22"/>
          <w:szCs w:val="22"/>
        </w:rPr>
      </w:pPr>
    </w:p>
    <w:p w:rsidR="00A745DF" w:rsidRDefault="00A745DF" w:rsidP="00E15768">
      <w:pPr>
        <w:rPr>
          <w:sz w:val="22"/>
          <w:szCs w:val="22"/>
        </w:rPr>
      </w:pPr>
    </w:p>
    <w:p w:rsidR="00A745DF" w:rsidRDefault="00A745DF" w:rsidP="00E15768">
      <w:pPr>
        <w:rPr>
          <w:color w:val="000000"/>
          <w:sz w:val="22"/>
          <w:szCs w:val="22"/>
        </w:rPr>
      </w:pPr>
    </w:p>
    <w:p w:rsidR="00A745DF" w:rsidRDefault="00493041" w:rsidP="00E157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DEĞERLENDİRME SİSTEMİ </w:t>
      </w:r>
    </w:p>
    <w:p w:rsidR="00A745DF" w:rsidRDefault="00A745DF" w:rsidP="00E15768">
      <w:pPr>
        <w:rPr>
          <w:b/>
          <w:sz w:val="22"/>
          <w:szCs w:val="22"/>
        </w:rPr>
      </w:pPr>
    </w:p>
    <w:tbl>
      <w:tblPr>
        <w:tblStyle w:val="a3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1138"/>
        <w:gridCol w:w="1467"/>
      </w:tblGrid>
      <w:tr w:rsidR="00A745DF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YARIYIL İÇİ ÇALIŞMALARI </w:t>
            </w:r>
          </w:p>
          <w:p w:rsidR="00A745DF" w:rsidRDefault="00A745DF" w:rsidP="00E15768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A745DF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Derslere ve pratiklere aktif katılım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%10</w:t>
            </w:r>
          </w:p>
        </w:tc>
      </w:tr>
      <w:tr w:rsidR="00A745DF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Kurul Sınavı (yazılı)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%50 </w:t>
            </w:r>
          </w:p>
        </w:tc>
      </w:tr>
      <w:tr w:rsidR="00A745DF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Kurul sınavı (sözlü)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%40</w:t>
            </w:r>
          </w:p>
        </w:tc>
      </w:tr>
      <w:tr w:rsidR="00A745DF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DF" w:rsidRDefault="00493041" w:rsidP="00E157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A745DF" w:rsidP="00E1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DF" w:rsidRDefault="00493041" w:rsidP="00E1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%100</w:t>
            </w:r>
          </w:p>
        </w:tc>
      </w:tr>
    </w:tbl>
    <w:p w:rsidR="00A745DF" w:rsidRDefault="00A745DF" w:rsidP="00E15768">
      <w:pPr>
        <w:rPr>
          <w:sz w:val="22"/>
          <w:szCs w:val="22"/>
        </w:rPr>
      </w:pPr>
    </w:p>
    <w:sectPr w:rsidR="00A745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71" w:rsidRDefault="001C3A71">
      <w:r>
        <w:separator/>
      </w:r>
    </w:p>
  </w:endnote>
  <w:endnote w:type="continuationSeparator" w:id="0">
    <w:p w:rsidR="001C3A71" w:rsidRDefault="001C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58D" w:rsidRDefault="0051458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DF" w:rsidRDefault="00493041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548DD4"/>
      </w:rPr>
      <w:t xml:space="preserve"> </w:t>
    </w: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51458D">
      <w:rPr>
        <w:noProof/>
        <w:color w:val="17365D"/>
      </w:rPr>
      <w:t>1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51458D">
      <w:rPr>
        <w:noProof/>
        <w:color w:val="17365D"/>
      </w:rPr>
      <w:t>3</w:t>
    </w:r>
    <w:r>
      <w:rPr>
        <w:color w:val="17365D"/>
      </w:rPr>
      <w:fldChar w:fldCharType="end"/>
    </w:r>
  </w:p>
  <w:p w:rsidR="00A745DF" w:rsidRDefault="00A74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58D" w:rsidRDefault="005145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71" w:rsidRDefault="001C3A71">
      <w:r>
        <w:separator/>
      </w:r>
    </w:p>
  </w:footnote>
  <w:footnote w:type="continuationSeparator" w:id="0">
    <w:p w:rsidR="001C3A71" w:rsidRDefault="001C3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58D" w:rsidRDefault="0051458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58D" w:rsidRDefault="0051458D">
    <w:pPr>
      <w:pStyle w:val="stbilgi"/>
    </w:pPr>
    <w:r>
      <w:t xml:space="preserve">                                                </w:t>
    </w:r>
    <w:bookmarkStart w:id="2" w:name="_GoBack"/>
    <w:bookmarkEnd w:id="2"/>
    <w:r>
      <w:rPr>
        <w:noProof/>
        <w:lang w:eastAsia="tr-TR"/>
      </w:rPr>
      <w:drawing>
        <wp:inline distT="0" distB="0" distL="0" distR="0" wp14:anchorId="42C7C3B3" wp14:editId="04AB7110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A745DF" w:rsidRDefault="00A74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58D" w:rsidRDefault="0051458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D41F3"/>
    <w:multiLevelType w:val="multilevel"/>
    <w:tmpl w:val="705AB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45DF"/>
    <w:rsid w:val="000A7CF3"/>
    <w:rsid w:val="00147113"/>
    <w:rsid w:val="001C3A71"/>
    <w:rsid w:val="00493041"/>
    <w:rsid w:val="0051458D"/>
    <w:rsid w:val="009850C9"/>
    <w:rsid w:val="00A745DF"/>
    <w:rsid w:val="00BC7CAA"/>
    <w:rsid w:val="00E15768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A17B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F63F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63FA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A17B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F63F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63FA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mel.sari@yeniyuzyil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6AvKhpNdHEOqCnfqBvN1RkqrJg==">CgMxLjAyCGguZ2pkZ3hzMgloLjMwajB6bGw4AHIhMVpucHZ2VmZfTzNmU2hQVUZlOUI0T2VWeExBQ3F2Y3pO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6</cp:revision>
  <dcterms:created xsi:type="dcterms:W3CDTF">2020-10-20T13:46:00Z</dcterms:created>
  <dcterms:modified xsi:type="dcterms:W3CDTF">2025-01-03T11:00:00Z</dcterms:modified>
</cp:coreProperties>
</file>